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2017年汉中市事业单位高层次人才公开招聘工作人员岗位表</w:t>
      </w:r>
    </w:p>
    <w:bookmarkEnd w:id="0"/>
    <w:tbl>
      <w:tblPr>
        <w:tblW w:w="9750" w:type="dxa"/>
        <w:jc w:val="center"/>
        <w:tblCellSpacing w:w="0" w:type="dxa"/>
        <w:tblInd w:w="-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600"/>
        <w:gridCol w:w="600"/>
        <w:gridCol w:w="600"/>
        <w:gridCol w:w="600"/>
        <w:gridCol w:w="1200"/>
        <w:gridCol w:w="1200"/>
        <w:gridCol w:w="1200"/>
        <w:gridCol w:w="1200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6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5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口腔临床医学或口腔医学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中西医结合、中医学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学科教学（美术）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教育学原理、教学和教育的理论与方法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教育经济与管理、人力资源发展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语言学及应用语言学、应用语言学及对外英语教育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具有高中或中等职业学校教师资格证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具有高中或中等职业学校教师资格证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具有高中或中等职业学校教师资格证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具有高中或中等职业学校教师资格证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计算机系统结构、计算机应用技术、控制理论与控制工程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经常夜间值班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学科教学（体育）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经常夜间值班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汉中市四0五学校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体育教育训练学、运动人体科学、民族传统体育学、体育人文社会学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具有会计从业资格证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具有中医类别医师执业资格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具有中医类别医师执业资格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口腔临床医学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到勉西精神病专科分院工作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要求本科所学专业为：植物科学与技术、农学、园艺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要求本科所学专业为：植物保护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要求本科所学专业为：农学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汉中市动物疾病预防控制中心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预防兽医学、动物遗传育种与繁殖、动物营养与饲料科学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要求本科所学专业为：农学、园艺、植物保护、植物科学与技术、种子科学与工程、设施农业科学与工程、茶学、应用生物科学、农业资源与环境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植物病理学、农业昆虫与害虫防治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要求本科所学专业为：农学、园艺、植物保护、植物科学与技术、种子科学与工程、设施农业科学与工程、茶学、应用生物科学、农业资源与环境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要求本科所学专业为：农学、园艺、植物保护、植物科学与技术、种子科学与工程、设施农业科学与工程、茶学、应用生物科学、农业资源与环境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农业科技组织与服务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汉中市住房保障管理中心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汉中市旅游信息服务中心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汉中市龙岗和西汉三遗址文化旅游园区建设管理委员会办公室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汉中市龙岗和西汉三遗址文化旅游园区建设管理委员会办公室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汉中市质量技术检验检测中心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精密仪器及机械、分析化学、材料物理与化学、工程力学、机械制造及其自动化、生物化工、测试计量技术及仪器、机械电子工程、微电子学与固体电子学、应用化学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汉中市建设工程质量安全监督中心站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中共汉中市委党校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中共汉中市委党校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现代经济分析、政治经济学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汉中市社会主义学校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马克思主义哲学、政治学理论、中外政治制度、科学社会主义与国际共产主义运动、中共党史、马克思主义基本原理、马克思主义中国化研究、思想政治教育、国际政治、中国近现代史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汉中市精神病院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汉台中学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汉台中学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理论物理、粒子物理与原子核物理、原子与分子物理、等离子体物理、凝聚态物理、声学、光学、无线电物理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汉中市汉台第二中学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汉中市汉台第二中学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汉中市汉台第二中学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史学理论及史学史、考古学及博物馆学、历史地理学、历史文献学、专门史、中国古代史、中国近现代史、世界史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汉中市汉台第二中学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中国语言文学、文艺学、语言学及应用语言学、汉语言文字学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汉中市汉台第二中学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学科教学（地理）、自然地理学、人文地理学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汉台区食品药品检验检测中心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食品科学与工程、计算机应用技术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南郑区交通基本工程质量监督站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南郑区林业勘察设计队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南郑区林业技术推广中心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南郑区农村供水管理中心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南郑区村镇建设监察大队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南郑区市政园林工程管理处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南郑区工业园区管理办公室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南郑区法律援助中心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南郑区地质环境监测站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南郑区以工代赈办公室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南郑区电视台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南郑区南海初级中学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南郑区红庙镇中心小学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学科教学（美术）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南郑区新集镇中心小学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学科教学（美术）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南郑区黄官镇中心小学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城固县水政监察大队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城固县农民负担监督管理办公室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会计学、专业会计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城固县第一中学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地理学、学科教学 （地理）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历史学、学科教学（历史）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数学、学科教学 （数学）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城固县职教中心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数学、学科教学 （数学）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城固县职教中心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城固县职教中心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城固县职教中心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洋县中学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语言学及应用语言学、汉语言文字学、中国古典文献学、中国古代文学、中国现当代文学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洋县中学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洋县中学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自然地理学、人文地理学、地图学与地理信息系统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洋县第二高级中学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语言学及应用语言学、汉语言文字学、中国古典文献学、中国古代文学、中国现当代文学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洋县第二高级中学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洋县第二高级中学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无机化学、分析化学、有机化学、物理化学、高分子化学与物理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西乡县第一中学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 计算数学、概率论与数理统计、应用数学、运筹学与控制论、学科教学（数学）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在西乡县服务5年及以上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西乡县第一中学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文艺学、语言学及应用语言学、汉语言文字学、中国古典文献学、中国古代文学、中国现当代文学、学科教学（语文）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在西乡县服务5年及以上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西乡县第二中学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无机化学、分析化学、有机化学、物理化学、高分子化学与物理、学科教学（化学）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在西乡县服务5年及以上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西乡县第二中学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理论物理、粒子物理与原子核物理、原子与分子物理、等离子体物理、凝聚态物理、?声学、光学、无线电物理、学科教学（物理）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在西乡县服务5年及以上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汉语国际教育、学科教学（语文）、语言学及应用语言学、文艺学、中国古代文学、中国现当代文学、汉语言文字学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历史学、学科教学（化学）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学科教学（地理）、自然地理学、人文地理学、地图学与地理信息系统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勉县第三中学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学科教学（英语）、英语语言文学、学科教学（物理）、理论物理、粒子物理与原子核物理、原子与分子物理、等离子体物理、凝聚态物理、声学、光学、无线电物理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勉县少年儿童体育运动学校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体育教育训练学、运动人体科学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勉县畜牧兽医技术推广中心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畜牧学、兽医学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勉县农产品质量安全监测检验中心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化学、生物医学工程、食品科学与工程、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作物学、园艺学、植物保护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勉县江河管理站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水利工程、土木工程、建筑学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勉县循环经济产业园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勉县定军山三国文化旅游风景区管委会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城乡规划学、风景园林学、旅游管理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勉县国土储备交易中心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地质学、建筑学、测绘科学与技术、地质资源与地质工程、矿业工程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宁强县天津高级中学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基础数学、计算数学、概率论与数理统计、应用数学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宁强县天津高级中学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理论物理、粒子物理与原子核物理、声学、光学、原子与分子物理、凝聚态物理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宁强县第四中学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文艺学、汉语言文字学、语言学及应用语言学、中国古典文献学、中国古代文学、中国现当代文学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中共宁强县委党校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哲学、理论经济学、应用经济学、法学、政治学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略阳县农业技术推广中心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农业科技组织与服务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佛坪县初级中学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汉语言文字学、中国现当代文学、中国古代文学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佛坪县初级中学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佛坪县农业技术推广中心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佛坪县农产品质量安全监测检验中心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农业生物环境与能源工程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佛坪县人民医院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佛坪县景区建设管理委员会办公室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佛坪县景区建设管理委员会办公室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金融学、地图学与地理信息系统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佛坪县广播电视台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4"/>
          <w:szCs w:val="24"/>
          <w:shd w:val="clear" w:fill="FFFFFF"/>
        </w:rPr>
        <w:t>附件下载：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"http://www.hanzhong.gov.cn/xwzx/gsgg/201711/P020171102684290071848.doc"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汉中市事业单位高层次人才公开招聘报名表.doc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E5CBD"/>
    <w:rsid w:val="3AF467F7"/>
    <w:rsid w:val="422E5CBD"/>
    <w:rsid w:val="42A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color w:val="4B4B4B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eastAsia" w:ascii="微软雅黑" w:hAnsi="微软雅黑" w:eastAsia="微软雅黑" w:cs="微软雅黑"/>
      <w:color w:val="4B4B4B"/>
      <w:sz w:val="21"/>
      <w:szCs w:val="21"/>
      <w:bdr w:val="none" w:color="auto" w:sz="0" w:space="0"/>
    </w:rPr>
  </w:style>
  <w:style w:type="character" w:styleId="13">
    <w:name w:val="HTML Cite"/>
    <w:basedOn w:val="5"/>
    <w:uiPriority w:val="0"/>
  </w:style>
  <w:style w:type="character" w:customStyle="1" w:styleId="15">
    <w:name w:val="more"/>
    <w:basedOn w:val="5"/>
    <w:uiPriority w:val="0"/>
  </w:style>
  <w:style w:type="character" w:customStyle="1" w:styleId="16">
    <w:name w:val="more1"/>
    <w:basedOn w:val="5"/>
    <w:uiPriority w:val="0"/>
  </w:style>
  <w:style w:type="character" w:customStyle="1" w:styleId="17">
    <w:name w:val="red"/>
    <w:basedOn w:val="5"/>
    <w:uiPriority w:val="0"/>
    <w:rPr>
      <w:color w:val="FF0000"/>
    </w:rPr>
  </w:style>
  <w:style w:type="character" w:customStyle="1" w:styleId="18">
    <w:name w:val="red1"/>
    <w:basedOn w:val="5"/>
    <w:uiPriority w:val="0"/>
    <w:rPr>
      <w:b/>
      <w:color w:val="C81F1A"/>
    </w:rPr>
  </w:style>
  <w:style w:type="character" w:customStyle="1" w:styleId="19">
    <w:name w:val="red2"/>
    <w:basedOn w:val="5"/>
    <w:uiPriority w:val="0"/>
    <w:rPr>
      <w:b/>
      <w:color w:val="C81F1A"/>
    </w:rPr>
  </w:style>
  <w:style w:type="character" w:customStyle="1" w:styleId="20">
    <w:name w:val="red3"/>
    <w:basedOn w:val="5"/>
    <w:uiPriority w:val="0"/>
    <w:rPr>
      <w:color w:val="FF0000"/>
    </w:rPr>
  </w:style>
  <w:style w:type="character" w:customStyle="1" w:styleId="21">
    <w:name w:val="red4"/>
    <w:basedOn w:val="5"/>
    <w:uiPriority w:val="0"/>
    <w:rPr>
      <w:color w:val="FF0000"/>
    </w:rPr>
  </w:style>
  <w:style w:type="character" w:customStyle="1" w:styleId="22">
    <w:name w:val="red5"/>
    <w:basedOn w:val="5"/>
    <w:uiPriority w:val="0"/>
    <w:rPr>
      <w:color w:val="FF0000"/>
    </w:rPr>
  </w:style>
  <w:style w:type="character" w:customStyle="1" w:styleId="23">
    <w:name w:val="right"/>
    <w:basedOn w:val="5"/>
    <w:uiPriority w:val="0"/>
  </w:style>
  <w:style w:type="character" w:customStyle="1" w:styleId="24">
    <w:name w:val="hj-easyread-speakerprocesser-position-action-ic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2017-11-03T08:00:00Z</dcterms:created>
  <dc:creator>水无鱼</dc:creator>
  <cp:lastModifiedBy>水无鱼</cp:lastModifiedBy>
  <dcterms:modified xsi:type="dcterms:W3CDTF">2017-11-03T08:45:45Z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